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661874" w14:textId="77777777" w:rsidR="00F35A9B" w:rsidRPr="00F35A9B" w:rsidRDefault="00F35A9B" w:rsidP="00F35A9B">
      <w:pPr>
        <w:autoSpaceDE w:val="0"/>
        <w:autoSpaceDN w:val="0"/>
        <w:adjustRightInd w:val="0"/>
        <w:rPr>
          <w:rFonts w:ascii="Century Gothic" w:hAnsi="Century Gothic" w:cs="Century Gothic"/>
          <w:color w:val="000000"/>
        </w:rPr>
      </w:pPr>
    </w:p>
    <w:p w14:paraId="792804F0" w14:textId="19FB755B" w:rsidR="00F35A9B" w:rsidRDefault="008C0349" w:rsidP="00F35A9B">
      <w:pPr>
        <w:pStyle w:val="Default"/>
      </w:pPr>
      <w:r>
        <w:rPr>
          <w:rFonts w:ascii="Century Gothic" w:hAnsi="Century Gothic" w:cs="Century Gothic"/>
          <w:b/>
          <w:bCs/>
          <w:sz w:val="48"/>
          <w:szCs w:val="48"/>
        </w:rPr>
        <w:t xml:space="preserve">COURSE AND </w:t>
      </w:r>
      <w:r w:rsidR="00F35A9B" w:rsidRPr="00F35A9B">
        <w:rPr>
          <w:rFonts w:ascii="Century Gothic" w:hAnsi="Century Gothic" w:cs="Century Gothic"/>
          <w:b/>
          <w:bCs/>
          <w:sz w:val="48"/>
          <w:szCs w:val="48"/>
        </w:rPr>
        <w:t>CONTINUING EDUCATION</w:t>
      </w:r>
      <w:r>
        <w:rPr>
          <w:rFonts w:ascii="Century Gothic" w:hAnsi="Century Gothic" w:cs="Century Gothic"/>
          <w:b/>
          <w:bCs/>
          <w:sz w:val="48"/>
          <w:szCs w:val="48"/>
        </w:rPr>
        <w:t xml:space="preserve"> CREDIT</w:t>
      </w:r>
    </w:p>
    <w:p w14:paraId="30D766D8" w14:textId="77777777" w:rsidR="00F35A9B" w:rsidRDefault="00F35A9B" w:rsidP="00F35A9B">
      <w:pPr>
        <w:pStyle w:val="Default"/>
      </w:pPr>
    </w:p>
    <w:p w14:paraId="255ED2D4" w14:textId="471D7CC0" w:rsidR="00F35A9B" w:rsidRDefault="00F35A9B" w:rsidP="00F35A9B">
      <w:pPr>
        <w:pStyle w:val="Default"/>
        <w:rPr>
          <w:b/>
          <w:bCs/>
          <w:sz w:val="28"/>
          <w:szCs w:val="28"/>
        </w:rPr>
      </w:pPr>
      <w:r>
        <w:rPr>
          <w:b/>
          <w:bCs/>
          <w:sz w:val="28"/>
          <w:szCs w:val="28"/>
        </w:rPr>
        <w:t xml:space="preserve">Registration includes </w:t>
      </w:r>
      <w:r w:rsidR="008C0349">
        <w:rPr>
          <w:b/>
          <w:bCs/>
          <w:sz w:val="28"/>
          <w:szCs w:val="28"/>
        </w:rPr>
        <w:t xml:space="preserve">course and </w:t>
      </w:r>
      <w:r>
        <w:rPr>
          <w:b/>
          <w:bCs/>
          <w:sz w:val="28"/>
          <w:szCs w:val="28"/>
        </w:rPr>
        <w:t xml:space="preserve">continuing education (CE) credit for those professionals listed below who wish to receive it. Professionals seeking </w:t>
      </w:r>
      <w:r w:rsidR="008C0349">
        <w:rPr>
          <w:b/>
          <w:bCs/>
          <w:sz w:val="28"/>
          <w:szCs w:val="28"/>
        </w:rPr>
        <w:t xml:space="preserve">such </w:t>
      </w:r>
      <w:r>
        <w:rPr>
          <w:b/>
          <w:bCs/>
          <w:sz w:val="28"/>
          <w:szCs w:val="28"/>
        </w:rPr>
        <w:t>credit must:</w:t>
      </w:r>
    </w:p>
    <w:p w14:paraId="52914615" w14:textId="6700D100" w:rsidR="00F35A9B" w:rsidRDefault="00F35A9B" w:rsidP="00F35A9B">
      <w:pPr>
        <w:pStyle w:val="Default"/>
        <w:rPr>
          <w:sz w:val="28"/>
          <w:szCs w:val="28"/>
        </w:rPr>
      </w:pPr>
      <w:r>
        <w:rPr>
          <w:b/>
          <w:bCs/>
          <w:sz w:val="28"/>
          <w:szCs w:val="28"/>
        </w:rPr>
        <w:t xml:space="preserve"> </w:t>
      </w:r>
    </w:p>
    <w:p w14:paraId="2A3A76C3" w14:textId="51479FD3" w:rsidR="00F35A9B" w:rsidRDefault="00F35A9B" w:rsidP="00F35A9B">
      <w:pPr>
        <w:pStyle w:val="Default"/>
        <w:numPr>
          <w:ilvl w:val="0"/>
          <w:numId w:val="2"/>
        </w:numPr>
        <w:rPr>
          <w:sz w:val="20"/>
          <w:szCs w:val="20"/>
        </w:rPr>
      </w:pPr>
      <w:r>
        <w:rPr>
          <w:sz w:val="20"/>
          <w:szCs w:val="20"/>
        </w:rPr>
        <w:t>Indicate on your registration form your desire to receive credit in one or more professional categories (see below).</w:t>
      </w:r>
    </w:p>
    <w:p w14:paraId="1FEAD63B" w14:textId="77777777" w:rsidR="00F35A9B" w:rsidRDefault="00F35A9B" w:rsidP="00F35A9B">
      <w:pPr>
        <w:pStyle w:val="Default"/>
        <w:rPr>
          <w:sz w:val="20"/>
          <w:szCs w:val="20"/>
        </w:rPr>
      </w:pPr>
    </w:p>
    <w:p w14:paraId="0F29628A" w14:textId="39DE9C80" w:rsidR="00F35A9B" w:rsidRDefault="00F35A9B" w:rsidP="00F35A9B">
      <w:pPr>
        <w:pStyle w:val="Default"/>
        <w:numPr>
          <w:ilvl w:val="1"/>
          <w:numId w:val="2"/>
        </w:numPr>
        <w:rPr>
          <w:sz w:val="20"/>
          <w:szCs w:val="20"/>
        </w:rPr>
      </w:pPr>
      <w:r>
        <w:rPr>
          <w:sz w:val="20"/>
          <w:szCs w:val="20"/>
        </w:rPr>
        <w:t xml:space="preserve">Attend all scheduled presentations, </w:t>
      </w:r>
    </w:p>
    <w:p w14:paraId="41B5F816" w14:textId="43CB45D5" w:rsidR="00F35A9B" w:rsidRDefault="00F35A9B" w:rsidP="00F35A9B">
      <w:pPr>
        <w:pStyle w:val="Default"/>
        <w:numPr>
          <w:ilvl w:val="1"/>
          <w:numId w:val="2"/>
        </w:numPr>
        <w:rPr>
          <w:sz w:val="20"/>
          <w:szCs w:val="20"/>
        </w:rPr>
      </w:pPr>
      <w:r>
        <w:rPr>
          <w:sz w:val="20"/>
          <w:szCs w:val="20"/>
        </w:rPr>
        <w:t xml:space="preserve">Sign in at the beginning, and out at the end, of each session, using the Zoom Chat as instructed at start of Symposium, and </w:t>
      </w:r>
    </w:p>
    <w:p w14:paraId="7CFB476B" w14:textId="39EA515D" w:rsidR="00F35A9B" w:rsidRDefault="00F35A9B" w:rsidP="00F35A9B">
      <w:pPr>
        <w:pStyle w:val="Default"/>
        <w:numPr>
          <w:ilvl w:val="1"/>
          <w:numId w:val="2"/>
        </w:numPr>
        <w:rPr>
          <w:sz w:val="20"/>
          <w:szCs w:val="20"/>
        </w:rPr>
      </w:pPr>
      <w:r>
        <w:rPr>
          <w:sz w:val="20"/>
          <w:szCs w:val="20"/>
        </w:rPr>
        <w:t xml:space="preserve">Following the conference, complete and submit </w:t>
      </w:r>
    </w:p>
    <w:p w14:paraId="4EEFD57F" w14:textId="1A925BF5" w:rsidR="00F35A9B" w:rsidRDefault="00F35A9B" w:rsidP="00F35A9B">
      <w:pPr>
        <w:pStyle w:val="Default"/>
        <w:numPr>
          <w:ilvl w:val="0"/>
          <w:numId w:val="1"/>
        </w:numPr>
        <w:spacing w:after="43"/>
        <w:rPr>
          <w:sz w:val="20"/>
          <w:szCs w:val="20"/>
        </w:rPr>
      </w:pPr>
      <w:r>
        <w:rPr>
          <w:sz w:val="20"/>
          <w:szCs w:val="20"/>
        </w:rPr>
        <w:t xml:space="preserve">Answers to multiple choice items covering Symposium content, and </w:t>
      </w:r>
    </w:p>
    <w:p w14:paraId="61DE4C44" w14:textId="09B1A8B1" w:rsidR="00F35A9B" w:rsidRDefault="00F35A9B" w:rsidP="00F35A9B">
      <w:pPr>
        <w:pStyle w:val="Default"/>
        <w:numPr>
          <w:ilvl w:val="0"/>
          <w:numId w:val="1"/>
        </w:numPr>
        <w:rPr>
          <w:sz w:val="20"/>
          <w:szCs w:val="20"/>
        </w:rPr>
      </w:pPr>
      <w:r>
        <w:rPr>
          <w:sz w:val="20"/>
          <w:szCs w:val="20"/>
        </w:rPr>
        <w:t xml:space="preserve">An evaluation of the conference. </w:t>
      </w:r>
    </w:p>
    <w:p w14:paraId="2820B275" w14:textId="77777777" w:rsidR="00F35A9B" w:rsidRDefault="00F35A9B" w:rsidP="00F35A9B">
      <w:pPr>
        <w:pStyle w:val="Default"/>
        <w:rPr>
          <w:sz w:val="20"/>
          <w:szCs w:val="20"/>
        </w:rPr>
      </w:pPr>
    </w:p>
    <w:p w14:paraId="096AFF9C" w14:textId="6D2CABA5" w:rsidR="00F35A9B" w:rsidRDefault="00F35A9B" w:rsidP="00F35A9B">
      <w:pPr>
        <w:pStyle w:val="Default"/>
        <w:numPr>
          <w:ilvl w:val="0"/>
          <w:numId w:val="2"/>
        </w:numPr>
        <w:rPr>
          <w:sz w:val="20"/>
          <w:szCs w:val="20"/>
        </w:rPr>
      </w:pPr>
      <w:r>
        <w:rPr>
          <w:sz w:val="20"/>
          <w:szCs w:val="20"/>
        </w:rPr>
        <w:t xml:space="preserve">Within one week after the Symposium, we will contact you to provide you with the computer links to the items and evaluation. You will have two weeks to complete the items and evaluation. Within one week of your completion of the items and evaluation, the </w:t>
      </w:r>
      <w:r w:rsidR="008C0349">
        <w:rPr>
          <w:sz w:val="20"/>
          <w:szCs w:val="20"/>
        </w:rPr>
        <w:t xml:space="preserve">course or </w:t>
      </w:r>
      <w:r>
        <w:rPr>
          <w:sz w:val="20"/>
          <w:szCs w:val="20"/>
        </w:rPr>
        <w:t xml:space="preserve">CE </w:t>
      </w:r>
      <w:r w:rsidR="008C0349">
        <w:rPr>
          <w:sz w:val="20"/>
          <w:szCs w:val="20"/>
        </w:rPr>
        <w:t xml:space="preserve">credit </w:t>
      </w:r>
      <w:r>
        <w:rPr>
          <w:sz w:val="20"/>
          <w:szCs w:val="20"/>
        </w:rPr>
        <w:t xml:space="preserve">provider will email you a pdf Certificate as an attachment that you will be able to save and/or print. </w:t>
      </w:r>
    </w:p>
    <w:p w14:paraId="68DCB3A0" w14:textId="77777777" w:rsidR="00F35A9B" w:rsidRDefault="00F35A9B" w:rsidP="00F35A9B">
      <w:pPr>
        <w:pStyle w:val="Default"/>
        <w:rPr>
          <w:sz w:val="20"/>
          <w:szCs w:val="20"/>
        </w:rPr>
      </w:pPr>
    </w:p>
    <w:p w14:paraId="42C3F6D9" w14:textId="18C7063B" w:rsidR="00F35A9B" w:rsidRPr="00F35A9B" w:rsidRDefault="00F35A9B" w:rsidP="00F35A9B">
      <w:pPr>
        <w:pStyle w:val="Default"/>
        <w:rPr>
          <w:sz w:val="22"/>
          <w:szCs w:val="22"/>
        </w:rPr>
      </w:pPr>
      <w:r>
        <w:rPr>
          <w:rFonts w:ascii="Century Gothic" w:hAnsi="Century Gothic" w:cs="Century Gothic"/>
          <w:b/>
          <w:bCs/>
          <w:sz w:val="22"/>
          <w:szCs w:val="22"/>
        </w:rPr>
        <w:t xml:space="preserve">Akamai University </w:t>
      </w:r>
      <w:r w:rsidR="008C0349">
        <w:rPr>
          <w:rFonts w:ascii="Century Gothic" w:hAnsi="Century Gothic" w:cs="Century Gothic"/>
          <w:b/>
          <w:bCs/>
          <w:sz w:val="22"/>
          <w:szCs w:val="22"/>
        </w:rPr>
        <w:t xml:space="preserve">(AU) </w:t>
      </w:r>
      <w:r>
        <w:rPr>
          <w:rFonts w:ascii="Century Gothic" w:hAnsi="Century Gothic" w:cs="Century Gothic"/>
          <w:b/>
          <w:bCs/>
          <w:sz w:val="22"/>
          <w:szCs w:val="22"/>
        </w:rPr>
        <w:t>C</w:t>
      </w:r>
      <w:r w:rsidR="008C0349">
        <w:rPr>
          <w:rFonts w:ascii="Century Gothic" w:hAnsi="Century Gothic" w:cs="Century Gothic"/>
          <w:b/>
          <w:bCs/>
          <w:sz w:val="22"/>
          <w:szCs w:val="22"/>
        </w:rPr>
        <w:t>omplementary and Alternative Medicine (C</w:t>
      </w:r>
      <w:r>
        <w:rPr>
          <w:rFonts w:ascii="Century Gothic" w:hAnsi="Century Gothic" w:cs="Century Gothic"/>
          <w:b/>
          <w:bCs/>
          <w:sz w:val="22"/>
          <w:szCs w:val="22"/>
        </w:rPr>
        <w:t>AM</w:t>
      </w:r>
      <w:r w:rsidR="008C0349">
        <w:rPr>
          <w:rFonts w:ascii="Century Gothic" w:hAnsi="Century Gothic" w:cs="Century Gothic"/>
          <w:b/>
          <w:bCs/>
          <w:sz w:val="22"/>
          <w:szCs w:val="22"/>
        </w:rPr>
        <w:t>)</w:t>
      </w:r>
      <w:r>
        <w:rPr>
          <w:rFonts w:ascii="Century Gothic" w:hAnsi="Century Gothic" w:cs="Century Gothic"/>
          <w:b/>
          <w:bCs/>
          <w:sz w:val="22"/>
          <w:szCs w:val="22"/>
        </w:rPr>
        <w:t xml:space="preserve"> Certificate Seekers (Certificate in Near-Death and Spiritually Transformative Experiences): </w:t>
      </w:r>
      <w:r>
        <w:rPr>
          <w:sz w:val="20"/>
          <w:szCs w:val="20"/>
        </w:rPr>
        <w:t>Receive up to 0.8 CEUs</w:t>
      </w:r>
      <w:r w:rsidR="008C0349">
        <w:rPr>
          <w:sz w:val="20"/>
          <w:szCs w:val="20"/>
        </w:rPr>
        <w:t xml:space="preserve"> from AU</w:t>
      </w:r>
      <w:r>
        <w:rPr>
          <w:sz w:val="20"/>
          <w:szCs w:val="20"/>
        </w:rPr>
        <w:t xml:space="preserve">. </w:t>
      </w:r>
    </w:p>
    <w:p w14:paraId="4693795E" w14:textId="22A3DF25" w:rsidR="00F35A9B" w:rsidRDefault="00F35A9B" w:rsidP="00F35A9B">
      <w:pPr>
        <w:pStyle w:val="Default"/>
        <w:rPr>
          <w:sz w:val="20"/>
          <w:szCs w:val="20"/>
        </w:rPr>
      </w:pPr>
    </w:p>
    <w:p w14:paraId="03B459AC" w14:textId="63D3FB3D" w:rsidR="00F35A9B" w:rsidRDefault="00F35A9B" w:rsidP="00F35A9B">
      <w:pPr>
        <w:pStyle w:val="Default"/>
        <w:rPr>
          <w:rFonts w:ascii="Lucida Grande" w:hAnsi="Lucida Grande" w:cs="Lucida Grande"/>
        </w:rPr>
      </w:pPr>
      <w:r w:rsidRPr="00F35A9B">
        <w:rPr>
          <w:rFonts w:ascii="Century Gothic" w:hAnsi="Century Gothic" w:cs="Lucida Grande"/>
          <w:b/>
          <w:bCs/>
          <w:sz w:val="22"/>
          <w:szCs w:val="22"/>
        </w:rPr>
        <w:t xml:space="preserve">Akamai University </w:t>
      </w:r>
      <w:r w:rsidR="008C0349">
        <w:rPr>
          <w:rFonts w:ascii="Century Gothic" w:hAnsi="Century Gothic" w:cs="Lucida Grande"/>
          <w:b/>
          <w:bCs/>
          <w:sz w:val="22"/>
          <w:szCs w:val="22"/>
        </w:rPr>
        <w:t xml:space="preserve">CAM </w:t>
      </w:r>
      <w:r w:rsidRPr="00F35A9B">
        <w:rPr>
          <w:rFonts w:ascii="Century Gothic" w:hAnsi="Century Gothic" w:cs="Lucida Grande"/>
          <w:b/>
          <w:bCs/>
          <w:sz w:val="22"/>
          <w:szCs w:val="22"/>
        </w:rPr>
        <w:t>Course Credit Seekers:</w:t>
      </w:r>
      <w:r>
        <w:rPr>
          <w:rFonts w:ascii="Lucida Grande" w:hAnsi="Lucida Grande" w:cs="Lucida Grande"/>
        </w:rPr>
        <w:t xml:space="preserve"> </w:t>
      </w:r>
      <w:r w:rsidRPr="008C0349">
        <w:rPr>
          <w:sz w:val="20"/>
          <w:szCs w:val="20"/>
        </w:rPr>
        <w:t>Receive .5 college credit</w:t>
      </w:r>
      <w:r w:rsidR="008C0349" w:rsidRPr="008C0349">
        <w:rPr>
          <w:sz w:val="20"/>
          <w:szCs w:val="20"/>
        </w:rPr>
        <w:t xml:space="preserve"> from AU.</w:t>
      </w:r>
    </w:p>
    <w:p w14:paraId="565A4D84" w14:textId="77777777" w:rsidR="008C0349" w:rsidRDefault="008C0349" w:rsidP="00F35A9B">
      <w:pPr>
        <w:pStyle w:val="Default"/>
        <w:rPr>
          <w:sz w:val="20"/>
          <w:szCs w:val="20"/>
        </w:rPr>
      </w:pPr>
    </w:p>
    <w:p w14:paraId="72E1C5F6" w14:textId="7D17AD61" w:rsidR="00F35A9B" w:rsidRDefault="00F35A9B" w:rsidP="00F35A9B">
      <w:pPr>
        <w:pStyle w:val="Default"/>
        <w:rPr>
          <w:sz w:val="22"/>
          <w:szCs w:val="22"/>
        </w:rPr>
      </w:pPr>
      <w:r>
        <w:rPr>
          <w:rFonts w:ascii="Century Gothic" w:hAnsi="Century Gothic" w:cs="Century Gothic"/>
          <w:b/>
          <w:bCs/>
          <w:sz w:val="22"/>
          <w:szCs w:val="22"/>
        </w:rPr>
        <w:t>Complementary and Alternative Medicine Practitioners, Educators, and Researchers</w:t>
      </w:r>
      <w:r w:rsidR="008C0349">
        <w:rPr>
          <w:rFonts w:ascii="Century Gothic" w:hAnsi="Century Gothic" w:cs="Century Gothic"/>
          <w:b/>
          <w:bCs/>
          <w:sz w:val="22"/>
          <w:szCs w:val="22"/>
        </w:rPr>
        <w:t xml:space="preserve"> in Energy Medicine or Comprehensive Energy Psychology</w:t>
      </w:r>
      <w:r>
        <w:rPr>
          <w:rFonts w:ascii="Century Gothic" w:hAnsi="Century Gothic" w:cs="Century Gothic"/>
          <w:b/>
          <w:bCs/>
          <w:sz w:val="22"/>
          <w:szCs w:val="22"/>
        </w:rPr>
        <w:t xml:space="preserve">; Massage and Bodywork Therapists; and Canadian Natural Health Practitioners: </w:t>
      </w:r>
    </w:p>
    <w:p w14:paraId="5A74541E" w14:textId="143B005B" w:rsidR="00F35A9B" w:rsidRDefault="00F35A9B" w:rsidP="00F35A9B">
      <w:pPr>
        <w:pStyle w:val="Default"/>
        <w:rPr>
          <w:sz w:val="18"/>
          <w:szCs w:val="18"/>
        </w:rPr>
      </w:pPr>
      <w:r>
        <w:rPr>
          <w:sz w:val="18"/>
          <w:szCs w:val="18"/>
        </w:rPr>
        <w:t xml:space="preserve">Receive up to 8 contact hours in continuing education through AU Institute for CAM Studies, Energy Medicine Partnerships (EMP), AU Affiliate. CEs are offered through four organizations: (a) EMP, an Approved Provider of continuing education for CAM Practitioners, Educators, &amp; Researchers; (b) the Association of Comprehensive Energy Psychology (ACEP) for Diplomate in Comprehensive Energy Psychology (DCEP) or Certified Energy Health Practitioner (CEHP) recertification; (c) Approved Provider with the National Certification Board for Therapeutic </w:t>
      </w:r>
      <w:proofErr w:type="gramStart"/>
      <w:r>
        <w:rPr>
          <w:sz w:val="18"/>
          <w:szCs w:val="18"/>
        </w:rPr>
        <w:t>Mas-sage</w:t>
      </w:r>
      <w:proofErr w:type="gramEnd"/>
      <w:r>
        <w:rPr>
          <w:sz w:val="18"/>
          <w:szCs w:val="18"/>
        </w:rPr>
        <w:t xml:space="preserve"> and Bodywork; and (d) Approved Provider with the Natural Health Practitioners of Canada for Natural Health. </w:t>
      </w:r>
    </w:p>
    <w:p w14:paraId="787264F0" w14:textId="77777777" w:rsidR="008C0349" w:rsidRDefault="008C0349" w:rsidP="00F35A9B">
      <w:pPr>
        <w:pStyle w:val="Default"/>
        <w:rPr>
          <w:sz w:val="18"/>
          <w:szCs w:val="18"/>
        </w:rPr>
      </w:pPr>
    </w:p>
    <w:p w14:paraId="3BCBF683" w14:textId="77777777" w:rsidR="00F35A9B" w:rsidRDefault="00F35A9B" w:rsidP="00F35A9B">
      <w:pPr>
        <w:pStyle w:val="Default"/>
        <w:rPr>
          <w:rFonts w:ascii="Century Gothic" w:hAnsi="Century Gothic" w:cs="Century Gothic"/>
          <w:sz w:val="22"/>
          <w:szCs w:val="22"/>
        </w:rPr>
      </w:pPr>
      <w:r>
        <w:rPr>
          <w:rFonts w:ascii="Century Gothic" w:hAnsi="Century Gothic" w:cs="Century Gothic"/>
          <w:b/>
          <w:bCs/>
          <w:sz w:val="22"/>
          <w:szCs w:val="22"/>
        </w:rPr>
        <w:t xml:space="preserve">Counselors: </w:t>
      </w:r>
    </w:p>
    <w:p w14:paraId="1ABCE3D9" w14:textId="6D076584" w:rsidR="00F35A9B" w:rsidRDefault="00F35A9B" w:rsidP="00F35A9B">
      <w:pPr>
        <w:pStyle w:val="Default"/>
        <w:rPr>
          <w:sz w:val="18"/>
          <w:szCs w:val="18"/>
        </w:rPr>
      </w:pPr>
      <w:r>
        <w:rPr>
          <w:sz w:val="18"/>
          <w:szCs w:val="18"/>
        </w:rPr>
        <w:t xml:space="preserve">Receive up to 6 Continuing Education Hours (CE) in Wellness and Prevention (including 1 hour of Ethics); no CEs for two-hour session at end of day: Sharing Experiences, Reactions, &amp; Questions About Caring for Near-Death &amp; Related Experiencers**. The Association for Spiritual, Ethical, and Religious Values in Counseling (ASERVIC) has been approved by NBCC as a continuing education provider, ACEP No. 1010. Programs that do not qualify for NBCC credit are clearly identified. ASERVIC is solely responsible for all aspects of the program. For more information about ASERVIC webinars and CE hours, visit www.aservic.org or contact president Dr. Ryan Foster at </w:t>
      </w:r>
      <w:hyperlink r:id="rId5" w:history="1">
        <w:r w:rsidR="008C0349" w:rsidRPr="00270DE6">
          <w:rPr>
            <w:rStyle w:val="Hyperlink"/>
            <w:sz w:val="18"/>
            <w:szCs w:val="18"/>
          </w:rPr>
          <w:t>president@aservic.org</w:t>
        </w:r>
      </w:hyperlink>
      <w:r>
        <w:rPr>
          <w:sz w:val="18"/>
          <w:szCs w:val="18"/>
        </w:rPr>
        <w:t xml:space="preserve">. </w:t>
      </w:r>
    </w:p>
    <w:p w14:paraId="6150F737" w14:textId="77777777" w:rsidR="008C0349" w:rsidRDefault="008C0349" w:rsidP="00F35A9B">
      <w:pPr>
        <w:pStyle w:val="Default"/>
        <w:rPr>
          <w:sz w:val="18"/>
          <w:szCs w:val="18"/>
        </w:rPr>
      </w:pPr>
    </w:p>
    <w:p w14:paraId="5B7DB0A8" w14:textId="77777777" w:rsidR="00F35A9B" w:rsidRDefault="00F35A9B" w:rsidP="00F35A9B">
      <w:pPr>
        <w:pStyle w:val="Default"/>
        <w:rPr>
          <w:rFonts w:ascii="Century Gothic" w:hAnsi="Century Gothic" w:cs="Century Gothic"/>
          <w:sz w:val="22"/>
          <w:szCs w:val="22"/>
        </w:rPr>
      </w:pPr>
      <w:r>
        <w:rPr>
          <w:rFonts w:ascii="Century Gothic" w:hAnsi="Century Gothic" w:cs="Century Gothic"/>
          <w:b/>
          <w:bCs/>
          <w:sz w:val="22"/>
          <w:szCs w:val="22"/>
        </w:rPr>
        <w:t xml:space="preserve">Nurses: </w:t>
      </w:r>
    </w:p>
    <w:p w14:paraId="7FEEF90A" w14:textId="1030712D" w:rsidR="00F35A9B" w:rsidRDefault="00F35A9B" w:rsidP="00F35A9B">
      <w:pPr>
        <w:pStyle w:val="Default"/>
        <w:rPr>
          <w:sz w:val="18"/>
          <w:szCs w:val="18"/>
        </w:rPr>
      </w:pPr>
      <w:r>
        <w:rPr>
          <w:sz w:val="18"/>
          <w:szCs w:val="18"/>
        </w:rPr>
        <w:lastRenderedPageBreak/>
        <w:t xml:space="preserve">This activity has been submitted to the American Holistic Nurses Association for approval to award contact hours. The American Holistic Nurses Association is accredited as an approver of nursing continuing professional development by the American Nurses Credentialing Center’s Commission on Accreditation. </w:t>
      </w:r>
    </w:p>
    <w:p w14:paraId="2D72821F" w14:textId="77777777" w:rsidR="008C0349" w:rsidRDefault="008C0349" w:rsidP="00F35A9B">
      <w:pPr>
        <w:pStyle w:val="Default"/>
        <w:rPr>
          <w:sz w:val="18"/>
          <w:szCs w:val="18"/>
        </w:rPr>
      </w:pPr>
    </w:p>
    <w:p w14:paraId="0DD4F6F0" w14:textId="77777777" w:rsidR="00F35A9B" w:rsidRDefault="00F35A9B" w:rsidP="00F35A9B">
      <w:pPr>
        <w:pStyle w:val="Default"/>
        <w:rPr>
          <w:rFonts w:ascii="Century Gothic" w:hAnsi="Century Gothic" w:cs="Century Gothic"/>
          <w:sz w:val="22"/>
          <w:szCs w:val="22"/>
        </w:rPr>
      </w:pPr>
      <w:r>
        <w:rPr>
          <w:rFonts w:ascii="Century Gothic" w:hAnsi="Century Gothic" w:cs="Century Gothic"/>
          <w:b/>
          <w:bCs/>
          <w:sz w:val="22"/>
          <w:szCs w:val="22"/>
        </w:rPr>
        <w:t xml:space="preserve">Social Workers: </w:t>
      </w:r>
    </w:p>
    <w:p w14:paraId="7B59C231" w14:textId="77777777" w:rsidR="008C0349" w:rsidRPr="008C0349" w:rsidRDefault="008C0349" w:rsidP="008C034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rPr>
      </w:pPr>
      <w:r w:rsidRPr="008C0349">
        <w:rPr>
          <w:rFonts w:ascii="Arial" w:hAnsi="Arial" w:cs="Arial"/>
          <w:color w:val="000000"/>
          <w:sz w:val="20"/>
          <w:szCs w:val="20"/>
        </w:rPr>
        <w:t>This activity is pending approval from the National Association of Social Workers for continuing education credit for social workers.</w:t>
      </w:r>
    </w:p>
    <w:p w14:paraId="523CE1CC" w14:textId="77777777" w:rsidR="008C0349" w:rsidRDefault="008C0349" w:rsidP="00F35A9B">
      <w:pPr>
        <w:pStyle w:val="Default"/>
        <w:rPr>
          <w:rFonts w:ascii="Century Gothic" w:hAnsi="Century Gothic" w:cs="Century Gothic"/>
          <w:b/>
          <w:bCs/>
          <w:sz w:val="22"/>
          <w:szCs w:val="22"/>
        </w:rPr>
      </w:pPr>
    </w:p>
    <w:p w14:paraId="542B3BB5" w14:textId="0EEB1EC0" w:rsidR="00F35A9B" w:rsidRDefault="00F35A9B" w:rsidP="00F35A9B">
      <w:pPr>
        <w:pStyle w:val="Default"/>
        <w:rPr>
          <w:rFonts w:ascii="Century Gothic" w:hAnsi="Century Gothic" w:cs="Century Gothic"/>
          <w:sz w:val="22"/>
          <w:szCs w:val="22"/>
        </w:rPr>
      </w:pPr>
      <w:r>
        <w:rPr>
          <w:rFonts w:ascii="Century Gothic" w:hAnsi="Century Gothic" w:cs="Century Gothic"/>
          <w:b/>
          <w:bCs/>
          <w:sz w:val="22"/>
          <w:szCs w:val="22"/>
        </w:rPr>
        <w:t>Other Professionals (including ACPE Certified Pastoral Educators</w:t>
      </w:r>
      <w:r w:rsidR="008C0349">
        <w:rPr>
          <w:rFonts w:ascii="Century Gothic" w:hAnsi="Century Gothic" w:cs="Century Gothic"/>
          <w:b/>
          <w:bCs/>
          <w:sz w:val="22"/>
          <w:szCs w:val="22"/>
        </w:rPr>
        <w:t xml:space="preserve">, </w:t>
      </w:r>
      <w:r>
        <w:rPr>
          <w:rFonts w:ascii="Century Gothic" w:hAnsi="Century Gothic" w:cs="Century Gothic"/>
          <w:b/>
          <w:bCs/>
          <w:sz w:val="22"/>
          <w:szCs w:val="22"/>
        </w:rPr>
        <w:t>APC Certified Chaplains</w:t>
      </w:r>
      <w:r w:rsidR="008C0349">
        <w:rPr>
          <w:rFonts w:ascii="Century Gothic" w:hAnsi="Century Gothic" w:cs="Century Gothic"/>
          <w:b/>
          <w:bCs/>
          <w:sz w:val="22"/>
          <w:szCs w:val="22"/>
        </w:rPr>
        <w:t>, and ACISTE-Certified Professionals</w:t>
      </w:r>
      <w:r>
        <w:rPr>
          <w:rFonts w:ascii="Century Gothic" w:hAnsi="Century Gothic" w:cs="Century Gothic"/>
          <w:b/>
          <w:bCs/>
          <w:sz w:val="22"/>
          <w:szCs w:val="22"/>
        </w:rPr>
        <w:t xml:space="preserve">): </w:t>
      </w:r>
    </w:p>
    <w:p w14:paraId="4240C667" w14:textId="199E635A" w:rsidR="00D12A6A" w:rsidRPr="008C0349" w:rsidRDefault="00F35A9B" w:rsidP="00F35A9B">
      <w:pPr>
        <w:rPr>
          <w:i/>
          <w:iCs/>
        </w:rPr>
      </w:pPr>
      <w:r>
        <w:rPr>
          <w:sz w:val="18"/>
          <w:szCs w:val="18"/>
        </w:rPr>
        <w:t xml:space="preserve">IANDS will issue a Certificate of Completion for up to 8 hours of participation that you may use for continuing education credit. </w:t>
      </w:r>
      <w:r w:rsidRPr="008C0349">
        <w:rPr>
          <w:b/>
          <w:bCs/>
          <w:i/>
          <w:iCs/>
          <w:sz w:val="18"/>
          <w:szCs w:val="18"/>
        </w:rPr>
        <w:t>Contact your licensing and/or certifying entity(s) prior to Symposium registration to determine whether the entity will accept such a Certificate for continuing education credit.</w:t>
      </w:r>
    </w:p>
    <w:sectPr w:rsidR="00D12A6A" w:rsidRPr="008C0349" w:rsidSect="00805E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Lucida Grande">
    <w:altName w:val="Segoe UI"/>
    <w:charset w:val="00"/>
    <w:family w:val="swiss"/>
    <w:pitch w:val="variable"/>
    <w:sig w:usb0="E1000AEF"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F200E9"/>
    <w:multiLevelType w:val="hybridMultilevel"/>
    <w:tmpl w:val="2CB20F1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2B260B6E"/>
    <w:multiLevelType w:val="hybridMultilevel"/>
    <w:tmpl w:val="584CC15A"/>
    <w:lvl w:ilvl="0" w:tplc="C7F0E5AE">
      <w:numFmt w:val="bullet"/>
      <w:lvlText w:val="•"/>
      <w:lvlJc w:val="left"/>
      <w:pPr>
        <w:ind w:left="720" w:hanging="360"/>
      </w:pPr>
      <w:rPr>
        <w:rFonts w:ascii="Arial" w:eastAsiaTheme="minorHAnsi" w:hAnsi="Arial" w:cs="Arial" w:hint="default"/>
      </w:rPr>
    </w:lvl>
    <w:lvl w:ilvl="1" w:tplc="1DC2F722">
      <w:numFmt w:val="bullet"/>
      <w:lvlText w:val="-"/>
      <w:lvlJc w:val="left"/>
      <w:pPr>
        <w:ind w:left="1440" w:hanging="360"/>
      </w:pPr>
      <w:rPr>
        <w:rFonts w:ascii="Arial" w:eastAsiaTheme="minorHAns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5A9B"/>
    <w:rsid w:val="000941CE"/>
    <w:rsid w:val="00242B28"/>
    <w:rsid w:val="00805E66"/>
    <w:rsid w:val="008C0349"/>
    <w:rsid w:val="00C452F9"/>
    <w:rsid w:val="00E01DF7"/>
    <w:rsid w:val="00F35A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7964F4"/>
  <w14:defaultImageDpi w14:val="32767"/>
  <w15:chartTrackingRefBased/>
  <w15:docId w15:val="{B50E1AF1-AB23-0B41-ADE1-B0819FC91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35A9B"/>
    <w:pPr>
      <w:autoSpaceDE w:val="0"/>
      <w:autoSpaceDN w:val="0"/>
      <w:adjustRightInd w:val="0"/>
    </w:pPr>
    <w:rPr>
      <w:rFonts w:ascii="Arial" w:hAnsi="Arial" w:cs="Arial"/>
      <w:color w:val="000000"/>
    </w:rPr>
  </w:style>
  <w:style w:type="paragraph" w:styleId="BalloonText">
    <w:name w:val="Balloon Text"/>
    <w:basedOn w:val="Normal"/>
    <w:link w:val="BalloonTextChar"/>
    <w:uiPriority w:val="99"/>
    <w:semiHidden/>
    <w:unhideWhenUsed/>
    <w:rsid w:val="00C452F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452F9"/>
    <w:rPr>
      <w:rFonts w:ascii="Times New Roman" w:hAnsi="Times New Roman" w:cs="Times New Roman"/>
      <w:sz w:val="18"/>
      <w:szCs w:val="18"/>
    </w:rPr>
  </w:style>
  <w:style w:type="character" w:styleId="Hyperlink">
    <w:name w:val="Hyperlink"/>
    <w:basedOn w:val="DefaultParagraphFont"/>
    <w:uiPriority w:val="99"/>
    <w:unhideWhenUsed/>
    <w:rsid w:val="008C0349"/>
    <w:rPr>
      <w:color w:val="0563C1" w:themeColor="hyperlink"/>
      <w:u w:val="single"/>
    </w:rPr>
  </w:style>
  <w:style w:type="character" w:styleId="UnresolvedMention">
    <w:name w:val="Unresolved Mention"/>
    <w:basedOn w:val="DefaultParagraphFont"/>
    <w:uiPriority w:val="99"/>
    <w:rsid w:val="008C03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resident@aservic.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570</Words>
  <Characters>3251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Janice Holden</dc:creator>
  <cp:keywords/>
  <dc:description/>
  <cp:lastModifiedBy>Mary Jo Bulbrook</cp:lastModifiedBy>
  <cp:revision>2</cp:revision>
  <cp:lastPrinted>2021-04-01T13:38:00Z</cp:lastPrinted>
  <dcterms:created xsi:type="dcterms:W3CDTF">2021-04-01T13:39:00Z</dcterms:created>
  <dcterms:modified xsi:type="dcterms:W3CDTF">2021-04-01T13:39:00Z</dcterms:modified>
</cp:coreProperties>
</file>